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9EE" w:rsidRPr="009B66BF" w:rsidRDefault="00B912F4" w:rsidP="003619E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Table 1. Characteristics of the Currently Available Systematic Reviews on the Diagnostic Accuracy of T</w:t>
      </w:r>
      <w:bookmarkStart w:id="0" w:name="_GoBack"/>
      <w:bookmarkEnd w:id="0"/>
      <w:r w:rsidR="003619EE" w:rsidRPr="009B66BF">
        <w:rPr>
          <w:rFonts w:ascii="Times New Roman" w:hAnsi="Times New Roman" w:cs="Times New Roman"/>
          <w:sz w:val="20"/>
          <w:szCs w:val="20"/>
          <w:lang w:val="en-US"/>
        </w:rPr>
        <w:t>ests.</w:t>
      </w:r>
    </w:p>
    <w:tbl>
      <w:tblPr>
        <w:tblStyle w:val="Tabelraster"/>
        <w:tblW w:w="14644" w:type="dxa"/>
        <w:tblInd w:w="-474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850"/>
        <w:gridCol w:w="993"/>
        <w:gridCol w:w="1984"/>
        <w:gridCol w:w="1305"/>
        <w:gridCol w:w="1275"/>
        <w:gridCol w:w="1276"/>
        <w:gridCol w:w="3167"/>
      </w:tblGrid>
      <w:tr w:rsidR="003619EE" w:rsidRPr="001D6A29" w:rsidTr="00E0762F">
        <w:trPr>
          <w:trHeight w:val="241"/>
        </w:trPr>
        <w:tc>
          <w:tcPr>
            <w:tcW w:w="1271" w:type="dxa"/>
          </w:tcPr>
          <w:p w:rsidR="003619EE" w:rsidRPr="001D6A29" w:rsidRDefault="003619EE" w:rsidP="001B346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Author</w:t>
            </w:r>
            <w:r w:rsidR="001B346E"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(s)</w:t>
            </w:r>
          </w:p>
        </w:tc>
        <w:tc>
          <w:tcPr>
            <w:tcW w:w="252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Population in eligible studies as described by the review authors </w:t>
            </w:r>
          </w:p>
        </w:tc>
        <w:tc>
          <w:tcPr>
            <w:tcW w:w="850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Fracture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Number of studies included</w:t>
            </w:r>
          </w:p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Diagnostic test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Pooled Se </w:t>
            </w:r>
          </w:p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Pooled </w:t>
            </w:r>
            <w:proofErr w:type="spellStart"/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Sp</w:t>
            </w:r>
            <w:proofErr w:type="spellEnd"/>
          </w:p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(95% CI)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Positive LR</w:t>
            </w:r>
          </w:p>
        </w:tc>
        <w:tc>
          <w:tcPr>
            <w:tcW w:w="3167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Conclusion</w:t>
            </w:r>
          </w:p>
        </w:tc>
      </w:tr>
      <w:tr w:rsidR="003619EE" w:rsidRPr="001D6A29" w:rsidTr="00E0762F">
        <w:trPr>
          <w:trHeight w:val="241"/>
        </w:trPr>
        <w:tc>
          <w:tcPr>
            <w:tcW w:w="14644" w:type="dxa"/>
            <w:gridSpan w:val="9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</w:rPr>
              <w:t>HISTORY TAKING</w:t>
            </w:r>
          </w:p>
        </w:tc>
      </w:tr>
      <w:tr w:rsidR="003619EE" w:rsidRPr="00B912F4" w:rsidTr="00E0762F">
        <w:trPr>
          <w:trHeight w:val="241"/>
        </w:trPr>
        <w:tc>
          <w:tcPr>
            <w:tcW w:w="1271" w:type="dxa"/>
          </w:tcPr>
          <w:p w:rsidR="003619EE" w:rsidRPr="001D6A29" w:rsidRDefault="00D20B92" w:rsidP="001D6A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Carpenter </w:t>
            </w:r>
            <w:r w:rsidR="001D6A2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2014) [37]</w:t>
            </w:r>
          </w:p>
        </w:tc>
        <w:tc>
          <w:tcPr>
            <w:tcW w:w="2523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Emergency Department.</w:t>
            </w:r>
          </w:p>
        </w:tc>
        <w:tc>
          <w:tcPr>
            <w:tcW w:w="850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07E90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305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History examination alone is inadequate to rule in or rule out scaphoid fracture. </w:t>
            </w:r>
          </w:p>
        </w:tc>
      </w:tr>
      <w:tr w:rsidR="003619EE" w:rsidRPr="001D6A29" w:rsidTr="00E0762F">
        <w:trPr>
          <w:trHeight w:val="241"/>
        </w:trPr>
        <w:tc>
          <w:tcPr>
            <w:tcW w:w="14644" w:type="dxa"/>
            <w:gridSpan w:val="9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PHYSICAL EXAMINATION</w:t>
            </w:r>
          </w:p>
        </w:tc>
      </w:tr>
      <w:tr w:rsidR="003619EE" w:rsidRPr="00B912F4" w:rsidTr="00E0762F">
        <w:trPr>
          <w:trHeight w:val="241"/>
        </w:trPr>
        <w:tc>
          <w:tcPr>
            <w:tcW w:w="1271" w:type="dxa"/>
            <w:vMerge w:val="restart"/>
          </w:tcPr>
          <w:p w:rsidR="003619EE" w:rsidRPr="001D6A29" w:rsidRDefault="00D20B92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Carpenter </w:t>
            </w:r>
            <w:r w:rsidR="001D6A2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  <w:r w:rsidR="001D6A2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[37]</w:t>
            </w:r>
          </w:p>
        </w:tc>
        <w:tc>
          <w:tcPr>
            <w:tcW w:w="2523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Emergency Department.</w:t>
            </w:r>
          </w:p>
        </w:tc>
        <w:tc>
          <w:tcPr>
            <w:tcW w:w="850" w:type="dxa"/>
            <w:vMerge w:val="restart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ASB tenderness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0.96 (0.92-0.98)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0.39 (0.36-0.43)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Except for the absence of snuffbox tenderness, which can significantly reduce the probability of scaphoid fracture, physical examination alone is inadequate to rule in or rule out scaphoid fracture.</w:t>
            </w:r>
          </w:p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LTC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0.82 (0.77-0.87)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0.58 (0.54-0.62)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Ultrasound </w:t>
            </w: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fibration</w:t>
            </w:r>
            <w:proofErr w:type="spellEnd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pain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0.67 (0.59-0.75)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0.57 (0.51-0.62)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Clamp sign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 (0.67-0.78)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0.92 (0.89-0.95)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Painfull</w:t>
            </w:r>
            <w:proofErr w:type="spellEnd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ulnar deviation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0.77 (0.68-0.83)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0.42 (0.34-0.49)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STT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0.92 (0.86-0.96)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0.47 (0.43-0.52)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Resisted supination pain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0.94 (0.85-0.98)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0.74 (0.63-0.84)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 w:val="restart"/>
          </w:tcPr>
          <w:p w:rsidR="003619EE" w:rsidRPr="001D6A29" w:rsidRDefault="004F45A5" w:rsidP="00D20B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Burrows</w:t>
            </w:r>
            <w:proofErr w:type="spellEnd"/>
            <w:r w:rsidR="00D20B92"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(2014) [35]</w:t>
            </w:r>
          </w:p>
        </w:tc>
        <w:tc>
          <w:tcPr>
            <w:tcW w:w="2523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Not specified</w:t>
            </w:r>
          </w:p>
        </w:tc>
        <w:tc>
          <w:tcPr>
            <w:tcW w:w="850" w:type="dxa"/>
            <w:vMerge w:val="restart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ASB tenderness 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1.52 (1.12-2.06)</w:t>
            </w:r>
          </w:p>
        </w:tc>
        <w:tc>
          <w:tcPr>
            <w:tcW w:w="3167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Three clinical tests with statistically significant diagnostic validity were identified. In isolation, the clinical significance of each is questionable.</w:t>
            </w: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 compression test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2.37 (1.27-4.41)</w:t>
            </w: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STT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1.67 (1.33-2.09)</w:t>
            </w: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 w:val="restart"/>
          </w:tcPr>
          <w:p w:rsidR="003619EE" w:rsidRPr="001D6A29" w:rsidRDefault="003619EE" w:rsidP="00D20B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Mallee</w:t>
            </w:r>
            <w:proofErr w:type="spellEnd"/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D20B92" w:rsidRPr="001D6A29">
              <w:rPr>
                <w:rFonts w:ascii="Times New Roman" w:hAnsi="Times New Roman" w:cs="Times New Roman"/>
                <w:sz w:val="16"/>
                <w:szCs w:val="16"/>
              </w:rPr>
              <w:t>(2015) [36]</w:t>
            </w:r>
          </w:p>
        </w:tc>
        <w:tc>
          <w:tcPr>
            <w:tcW w:w="2523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Patients presenting to the emergency department or outpatient clinic </w:t>
            </w:r>
          </w:p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 w:val="restart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ASB tenderness 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0.87-1.00 *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0.03-0.98 **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Anatomical snuff box tenderness was the most sensitive clinical test. The low specificity of the clinical tests may result in a considerable number of over-treated patients. Combining tests improved the post-test fracture probability.</w:t>
            </w: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LTC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0.48-1.00 *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0.22-0.97 **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0.82-1.00 *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0.17-0.57 **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Painfull ulnar deviation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0.67-1.00 * 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0.17-0.60 **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ASB swelling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0.67-0.77 *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0.37-0.72 **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4644" w:type="dxa"/>
            <w:gridSpan w:val="9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b/>
                <w:sz w:val="16"/>
                <w:szCs w:val="16"/>
              </w:rPr>
              <w:t>IMAGING</w:t>
            </w:r>
          </w:p>
        </w:tc>
      </w:tr>
      <w:tr w:rsidR="003619EE" w:rsidRPr="00B912F4" w:rsidTr="00E0762F">
        <w:trPr>
          <w:trHeight w:val="241"/>
        </w:trPr>
        <w:tc>
          <w:tcPr>
            <w:tcW w:w="1271" w:type="dxa"/>
            <w:vMerge w:val="restart"/>
          </w:tcPr>
          <w:p w:rsidR="003619EE" w:rsidRPr="001D6A29" w:rsidRDefault="001D6A29" w:rsidP="00EC7DB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Carpenter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[37]</w:t>
            </w:r>
          </w:p>
        </w:tc>
        <w:tc>
          <w:tcPr>
            <w:tcW w:w="2523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Emergency Department.</w:t>
            </w:r>
          </w:p>
        </w:tc>
        <w:tc>
          <w:tcPr>
            <w:tcW w:w="850" w:type="dxa"/>
            <w:vMerge w:val="restart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X-ray fat pad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0.82 (0.76-0.86)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0.72 (0.68-0.75)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MRI is the most accurate imaging test to diagnose scaphoid fractures in ED patients with no evidence of fracture on initial x-rays. If MRI is unavailable, CT is adequate to rule in scaphoid fractures, but inadequate for ruling out scaphoid fractures.</w:t>
            </w: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BS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0.91 (0.87-0.94)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0.86 (0.83-0.88)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US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0.80 (0.67-0.90)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0.87 (0.81-0.91)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CT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0.83 (0.83-0.89)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0.97 (0.94-0.98)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MRI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0.96 (0.92-0.99)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0.98 (0.96-0.99)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B912F4" w:rsidTr="00E0762F">
        <w:trPr>
          <w:trHeight w:val="241"/>
        </w:trPr>
        <w:tc>
          <w:tcPr>
            <w:tcW w:w="1271" w:type="dxa"/>
            <w:vMerge w:val="restart"/>
          </w:tcPr>
          <w:p w:rsidR="003619EE" w:rsidRPr="001D6A29" w:rsidRDefault="004F45A5" w:rsidP="001D6A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Yin</w:t>
            </w:r>
            <w:r w:rsidR="001D6A29"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(2012)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D6A29" w:rsidRPr="001D6A29">
              <w:rPr>
                <w:rFonts w:ascii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2523" w:type="dxa"/>
            <w:vMerge w:val="restart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Not specified</w:t>
            </w:r>
          </w:p>
        </w:tc>
        <w:tc>
          <w:tcPr>
            <w:tcW w:w="850" w:type="dxa"/>
            <w:vMerge w:val="restart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Follow-up </w:t>
            </w: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radiographs</w:t>
            </w:r>
            <w:proofErr w:type="spellEnd"/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0.91 (0.81-0.98)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1.00 (0.99-1.00)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If we acknowledge the lack of a reference standard for diagnosing suspected scaphoid fractures, MRI is the most accurate test; follow-up radiographs and CT may be less sensitive, and bone scintigraphy less specific.</w:t>
            </w: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BS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0.98 (0.96-0.99)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0.94 (0.91-0.95)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MRI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0.98 (0.95-0.99)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1.00 (0.99-1.00)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CT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0.85 (0.74-0.94)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1.00 (0.98-1.00)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619EE" w:rsidRPr="00B912F4" w:rsidTr="00E0762F">
        <w:trPr>
          <w:trHeight w:val="241"/>
        </w:trPr>
        <w:tc>
          <w:tcPr>
            <w:tcW w:w="1271" w:type="dxa"/>
            <w:vMerge w:val="restart"/>
          </w:tcPr>
          <w:p w:rsidR="003619EE" w:rsidRPr="001D6A29" w:rsidRDefault="001D6A29" w:rsidP="001D6A2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Yin (2010) [33]</w:t>
            </w:r>
          </w:p>
        </w:tc>
        <w:tc>
          <w:tcPr>
            <w:tcW w:w="2523" w:type="dxa"/>
            <w:vMerge w:val="restart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Not specified</w:t>
            </w:r>
          </w:p>
        </w:tc>
        <w:tc>
          <w:tcPr>
            <w:tcW w:w="850" w:type="dxa"/>
            <w:vMerge w:val="restart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Scaphoid</w:t>
            </w: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BS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0.97 (0.93-0.99)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0.89 (0.83-0.94)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 w:val="restart"/>
          </w:tcPr>
          <w:p w:rsidR="003619EE" w:rsidRPr="001D6A29" w:rsidRDefault="003619EE" w:rsidP="00706D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Bone scintigraphy and MRI have equally high sensitivity and high diagnostic value for excluding scaphoid fracture; however, MRI is more specific and better for confirming scaphoid fracture. </w:t>
            </w: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MRI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0.96 (0.91-0.99)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0.99 (0.96-1.00)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619EE" w:rsidRPr="001D6A29" w:rsidTr="00E0762F">
        <w:trPr>
          <w:trHeight w:val="241"/>
        </w:trPr>
        <w:tc>
          <w:tcPr>
            <w:tcW w:w="1271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CT</w:t>
            </w:r>
          </w:p>
        </w:tc>
        <w:tc>
          <w:tcPr>
            <w:tcW w:w="130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0.93 (0.83-0.98)</w:t>
            </w:r>
          </w:p>
        </w:tc>
        <w:tc>
          <w:tcPr>
            <w:tcW w:w="1275" w:type="dxa"/>
          </w:tcPr>
          <w:p w:rsidR="003619EE" w:rsidRPr="001D6A29" w:rsidRDefault="003619EE" w:rsidP="00706D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0.99 (0.96-1.00)</w:t>
            </w:r>
          </w:p>
        </w:tc>
        <w:tc>
          <w:tcPr>
            <w:tcW w:w="1276" w:type="dxa"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3619EE" w:rsidRPr="001D6A29" w:rsidRDefault="003619EE" w:rsidP="00706D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00C4" w:rsidRPr="00B912F4" w:rsidTr="00E0762F">
        <w:trPr>
          <w:trHeight w:val="241"/>
        </w:trPr>
        <w:tc>
          <w:tcPr>
            <w:tcW w:w="1271" w:type="dxa"/>
            <w:vMerge w:val="restart"/>
          </w:tcPr>
          <w:p w:rsidR="006000C4" w:rsidRPr="001D6A29" w:rsidRDefault="006000C4" w:rsidP="001D6A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Mallee</w:t>
            </w:r>
            <w:proofErr w:type="spellEnd"/>
            <w:r w:rsidR="001D6A29"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(2014)</w:t>
            </w: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D6A29" w:rsidRPr="001D6A29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</w:p>
        </w:tc>
        <w:tc>
          <w:tcPr>
            <w:tcW w:w="2523" w:type="dxa"/>
            <w:vMerge w:val="restart"/>
          </w:tcPr>
          <w:p w:rsidR="006000C4" w:rsidRPr="001D6A29" w:rsidRDefault="006000C4" w:rsidP="00600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People of all ages who presented at hospital or clinic </w:t>
            </w:r>
          </w:p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 w:val="restart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BS</w:t>
            </w:r>
          </w:p>
        </w:tc>
        <w:tc>
          <w:tcPr>
            <w:tcW w:w="1305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0.99 (0.69-1.00)</w:t>
            </w:r>
          </w:p>
        </w:tc>
        <w:tc>
          <w:tcPr>
            <w:tcW w:w="1275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0.86 (0.73-0.94)</w:t>
            </w:r>
          </w:p>
        </w:tc>
        <w:tc>
          <w:tcPr>
            <w:tcW w:w="1276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 w:val="restart"/>
          </w:tcPr>
          <w:p w:rsidR="006000C4" w:rsidRPr="001D6A29" w:rsidRDefault="006000C4" w:rsidP="00600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Bone scintigraphy is statistically the best diagnostic modality to establish a definitive diagnosis in clinically suspected fractures when radiographs appear normal. The number of </w:t>
            </w: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overtreated</w:t>
            </w:r>
            <w:proofErr w:type="spellEnd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patients is substantially lower with CT and MRI.</w:t>
            </w:r>
          </w:p>
        </w:tc>
      </w:tr>
      <w:tr w:rsidR="006000C4" w:rsidRPr="001D6A29" w:rsidTr="00E0762F">
        <w:trPr>
          <w:trHeight w:val="241"/>
        </w:trPr>
        <w:tc>
          <w:tcPr>
            <w:tcW w:w="1271" w:type="dxa"/>
            <w:vMerge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523" w:type="dxa"/>
            <w:vMerge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CT</w:t>
            </w:r>
          </w:p>
        </w:tc>
        <w:tc>
          <w:tcPr>
            <w:tcW w:w="1305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0.72 (0.36-0.92)</w:t>
            </w:r>
          </w:p>
        </w:tc>
        <w:tc>
          <w:tcPr>
            <w:tcW w:w="1275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0.99 (0.71-1.00)</w:t>
            </w:r>
          </w:p>
        </w:tc>
        <w:tc>
          <w:tcPr>
            <w:tcW w:w="1276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67" w:type="dxa"/>
            <w:vMerge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00C4" w:rsidRPr="001D6A29" w:rsidTr="00E0762F">
        <w:trPr>
          <w:trHeight w:val="241"/>
        </w:trPr>
        <w:tc>
          <w:tcPr>
            <w:tcW w:w="1271" w:type="dxa"/>
            <w:vMerge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  <w:vMerge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6000C4" w:rsidRPr="001D6A29" w:rsidRDefault="006000C4" w:rsidP="006000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MRI</w:t>
            </w:r>
          </w:p>
        </w:tc>
        <w:tc>
          <w:tcPr>
            <w:tcW w:w="1305" w:type="dxa"/>
          </w:tcPr>
          <w:p w:rsidR="006000C4" w:rsidRPr="001D6A29" w:rsidRDefault="006000C4" w:rsidP="006000C4">
            <w:pPr>
              <w:pStyle w:val="Lijstalinea"/>
              <w:numPr>
                <w:ilvl w:val="1"/>
                <w:numId w:val="1"/>
              </w:numPr>
              <w:rPr>
                <w:sz w:val="16"/>
                <w:szCs w:val="16"/>
                <w:lang w:val="en-US"/>
              </w:rPr>
            </w:pPr>
            <w:r w:rsidRPr="001D6A29">
              <w:rPr>
                <w:sz w:val="16"/>
                <w:szCs w:val="16"/>
                <w:lang w:val="en-US"/>
              </w:rPr>
              <w:t>(0.64-0.97)</w:t>
            </w:r>
          </w:p>
        </w:tc>
        <w:tc>
          <w:tcPr>
            <w:tcW w:w="1275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1.00 (0.38-1.00)</w:t>
            </w:r>
          </w:p>
        </w:tc>
        <w:tc>
          <w:tcPr>
            <w:tcW w:w="1276" w:type="dxa"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  <w:vMerge/>
          </w:tcPr>
          <w:p w:rsidR="006000C4" w:rsidRPr="001D6A29" w:rsidRDefault="006000C4" w:rsidP="006000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0762F" w:rsidRPr="00B912F4" w:rsidTr="00E0762F">
        <w:trPr>
          <w:trHeight w:val="241"/>
        </w:trPr>
        <w:tc>
          <w:tcPr>
            <w:tcW w:w="1271" w:type="dxa"/>
          </w:tcPr>
          <w:p w:rsidR="00E0762F" w:rsidRPr="001D6A29" w:rsidRDefault="001D6A29" w:rsidP="001D6A2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Kwee</w:t>
            </w:r>
            <w:proofErr w:type="spellEnd"/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[38]</w:t>
            </w:r>
          </w:p>
        </w:tc>
        <w:tc>
          <w:tcPr>
            <w:tcW w:w="2523" w:type="dxa"/>
          </w:tcPr>
          <w:p w:rsidR="00E0762F" w:rsidRPr="001D6A29" w:rsidRDefault="00E0762F" w:rsidP="002459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Not specified</w:t>
            </w:r>
          </w:p>
        </w:tc>
        <w:tc>
          <w:tcPr>
            <w:tcW w:w="850" w:type="dxa"/>
          </w:tcPr>
          <w:p w:rsidR="00E0762F" w:rsidRPr="001D6A29" w:rsidRDefault="00E0762F" w:rsidP="002459A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E0762F" w:rsidRPr="001D6A29" w:rsidRDefault="00E0762F" w:rsidP="002459A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1984" w:type="dxa"/>
          </w:tcPr>
          <w:p w:rsidR="00E0762F" w:rsidRPr="001D6A29" w:rsidRDefault="00E0762F" w:rsidP="002459A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1305" w:type="dxa"/>
          </w:tcPr>
          <w:p w:rsidR="00E0762F" w:rsidRPr="001D6A29" w:rsidRDefault="00D43754" w:rsidP="00D4375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0.86 </w:t>
            </w:r>
            <w:r w:rsidR="00E0762F"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(</w:t>
            </w:r>
            <w:r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0.74-0.93)</w:t>
            </w:r>
          </w:p>
        </w:tc>
        <w:tc>
          <w:tcPr>
            <w:tcW w:w="1275" w:type="dxa"/>
          </w:tcPr>
          <w:p w:rsidR="00E0762F" w:rsidRPr="001D6A29" w:rsidRDefault="00D43754" w:rsidP="00D4375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0.84</w:t>
            </w:r>
            <w:r w:rsidR="00E0762F"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 xml:space="preserve"> (</w:t>
            </w:r>
            <w:r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0.</w:t>
            </w:r>
            <w:r w:rsidR="00E0762F"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72</w:t>
            </w:r>
            <w:r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-0.91</w:t>
            </w:r>
            <w:r w:rsidR="00E0762F"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)</w:t>
            </w:r>
          </w:p>
        </w:tc>
        <w:tc>
          <w:tcPr>
            <w:tcW w:w="1276" w:type="dxa"/>
          </w:tcPr>
          <w:p w:rsidR="00E0762F" w:rsidRPr="001D6A29" w:rsidRDefault="00E0762F" w:rsidP="002459A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</w:tcPr>
          <w:p w:rsidR="00E0762F" w:rsidRPr="001D6A29" w:rsidRDefault="00D43754" w:rsidP="002459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color w:val="131413"/>
                <w:sz w:val="16"/>
                <w:szCs w:val="16"/>
                <w:lang w:val="en-US"/>
              </w:rPr>
              <w:t>Ultrasound can diagnose radiographically occult scaphoid fracture with a fairly high degree of accuracy.</w:t>
            </w:r>
          </w:p>
        </w:tc>
      </w:tr>
      <w:tr w:rsidR="00E0762F" w:rsidRPr="00B912F4" w:rsidTr="00E0762F">
        <w:trPr>
          <w:trHeight w:val="241"/>
        </w:trPr>
        <w:tc>
          <w:tcPr>
            <w:tcW w:w="1271" w:type="dxa"/>
          </w:tcPr>
          <w:p w:rsidR="00E0762F" w:rsidRPr="001D6A29" w:rsidRDefault="00E0762F" w:rsidP="001D6A2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Ali</w:t>
            </w:r>
            <w:r w:rsidR="001D6A29"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(2018) [39]</w:t>
            </w:r>
          </w:p>
        </w:tc>
        <w:tc>
          <w:tcPr>
            <w:tcW w:w="2523" w:type="dxa"/>
          </w:tcPr>
          <w:p w:rsidR="00E0762F" w:rsidRPr="001D6A29" w:rsidRDefault="00E0762F" w:rsidP="002459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Not specified</w:t>
            </w:r>
          </w:p>
        </w:tc>
        <w:tc>
          <w:tcPr>
            <w:tcW w:w="850" w:type="dxa"/>
          </w:tcPr>
          <w:p w:rsidR="00E0762F" w:rsidRPr="001D6A29" w:rsidRDefault="00E0762F" w:rsidP="002459A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</w:rPr>
              <w:t>Scaphoid</w:t>
            </w:r>
          </w:p>
        </w:tc>
        <w:tc>
          <w:tcPr>
            <w:tcW w:w="993" w:type="dxa"/>
          </w:tcPr>
          <w:p w:rsidR="00E0762F" w:rsidRPr="001D6A29" w:rsidRDefault="00E0762F" w:rsidP="002459A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1984" w:type="dxa"/>
          </w:tcPr>
          <w:p w:rsidR="00E0762F" w:rsidRPr="001D6A29" w:rsidRDefault="00E0762F" w:rsidP="002459A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</w:t>
            </w:r>
          </w:p>
        </w:tc>
        <w:tc>
          <w:tcPr>
            <w:tcW w:w="1305" w:type="dxa"/>
          </w:tcPr>
          <w:p w:rsidR="00E0762F" w:rsidRPr="001D6A29" w:rsidRDefault="00D43754" w:rsidP="002459A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0.94 (0.78-1.00)</w:t>
            </w:r>
          </w:p>
        </w:tc>
        <w:tc>
          <w:tcPr>
            <w:tcW w:w="1275" w:type="dxa"/>
          </w:tcPr>
          <w:p w:rsidR="00E0762F" w:rsidRPr="001D6A29" w:rsidRDefault="00D43754" w:rsidP="002459A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0.89 (0.78-1.00)</w:t>
            </w:r>
          </w:p>
        </w:tc>
        <w:tc>
          <w:tcPr>
            <w:tcW w:w="1276" w:type="dxa"/>
          </w:tcPr>
          <w:p w:rsidR="00E0762F" w:rsidRPr="001D6A29" w:rsidRDefault="00E0762F" w:rsidP="002459A0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167" w:type="dxa"/>
          </w:tcPr>
          <w:p w:rsidR="00E0762F" w:rsidRPr="001D6A29" w:rsidRDefault="008D2935" w:rsidP="008D29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D6A2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US reveals high sensitivity and specificity in scaphoid fracture diagnosis.</w:t>
            </w:r>
          </w:p>
        </w:tc>
      </w:tr>
    </w:tbl>
    <w:p w:rsidR="003619EE" w:rsidRPr="009B66BF" w:rsidRDefault="003619EE" w:rsidP="003619EE">
      <w:pPr>
        <w:rPr>
          <w:rFonts w:ascii="Times New Roman" w:hAnsi="Times New Roman" w:cs="Times New Roman"/>
          <w:sz w:val="16"/>
          <w:szCs w:val="16"/>
          <w:lang w:val="en-US"/>
        </w:rPr>
      </w:pPr>
    </w:p>
    <w:p w:rsidR="003619EE" w:rsidRPr="009B66BF" w:rsidRDefault="003619EE" w:rsidP="003619EE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B66BF">
        <w:rPr>
          <w:rFonts w:ascii="Times New Roman" w:hAnsi="Times New Roman" w:cs="Times New Roman"/>
          <w:sz w:val="16"/>
          <w:szCs w:val="16"/>
          <w:lang w:val="en-US"/>
        </w:rPr>
        <w:t>ASB: Anatomic snuff-box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br/>
        <w:t>LTC: Longitudinal (thumb) compression test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br/>
        <w:t>STT: Scaphoid tubercle tenderness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br/>
        <w:t>BS: Bone Scintigraphy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br/>
        <w:t>US: Ultrasound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br/>
        <w:t>CT: Computed Tomography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br/>
        <w:t>MRI: Magnetic Resonance Imaging</w:t>
      </w:r>
    </w:p>
    <w:p w:rsidR="003619EE" w:rsidRPr="009B66BF" w:rsidRDefault="003619EE" w:rsidP="003619EE">
      <w:pPr>
        <w:rPr>
          <w:rFonts w:ascii="Times New Roman" w:hAnsi="Times New Roman" w:cs="Times New Roman"/>
          <w:sz w:val="16"/>
          <w:szCs w:val="16"/>
          <w:lang w:val="en-US"/>
        </w:rPr>
      </w:pPr>
    </w:p>
    <w:p w:rsidR="003619EE" w:rsidRPr="009B66BF" w:rsidRDefault="003619EE" w:rsidP="003619EE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B66BF">
        <w:rPr>
          <w:rFonts w:ascii="Times New Roman" w:hAnsi="Times New Roman" w:cs="Times New Roman"/>
          <w:sz w:val="16"/>
          <w:szCs w:val="16"/>
          <w:lang w:val="en-US"/>
        </w:rPr>
        <w:t>*Sensitivity range described, because of the high</w:t>
      </w:r>
      <w:r w:rsidR="004F45A5">
        <w:rPr>
          <w:rFonts w:ascii="Times New Roman" w:hAnsi="Times New Roman" w:cs="Times New Roman"/>
          <w:sz w:val="16"/>
          <w:szCs w:val="16"/>
          <w:lang w:val="en-US"/>
        </w:rPr>
        <w:t xml:space="preserve"> heterogeneity </w:t>
      </w:r>
      <w:proofErr w:type="spellStart"/>
      <w:r w:rsidR="004F45A5">
        <w:rPr>
          <w:rFonts w:ascii="Times New Roman" w:hAnsi="Times New Roman" w:cs="Times New Roman"/>
          <w:sz w:val="16"/>
          <w:szCs w:val="16"/>
          <w:lang w:val="en-US"/>
        </w:rPr>
        <w:t>Mallee</w:t>
      </w:r>
      <w:proofErr w:type="spellEnd"/>
      <w:r w:rsidR="004F45A5">
        <w:rPr>
          <w:rFonts w:ascii="Times New Roman" w:hAnsi="Times New Roman" w:cs="Times New Roman"/>
          <w:sz w:val="16"/>
          <w:szCs w:val="16"/>
          <w:lang w:val="en-US"/>
        </w:rPr>
        <w:t xml:space="preserve"> et al. [36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t xml:space="preserve">] refrained from calculating pooled estimate points. </w:t>
      </w:r>
    </w:p>
    <w:p w:rsidR="00EC0A5E" w:rsidRPr="003619EE" w:rsidRDefault="003619EE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B66BF">
        <w:rPr>
          <w:rFonts w:ascii="Times New Roman" w:hAnsi="Times New Roman" w:cs="Times New Roman"/>
          <w:sz w:val="16"/>
          <w:szCs w:val="16"/>
          <w:lang w:val="en-US"/>
        </w:rPr>
        <w:t>**Specificity Range described, because of the high</w:t>
      </w:r>
      <w:r w:rsidR="004F45A5">
        <w:rPr>
          <w:rFonts w:ascii="Times New Roman" w:hAnsi="Times New Roman" w:cs="Times New Roman"/>
          <w:sz w:val="16"/>
          <w:szCs w:val="16"/>
          <w:lang w:val="en-US"/>
        </w:rPr>
        <w:t xml:space="preserve"> heterogeneity </w:t>
      </w:r>
      <w:proofErr w:type="spellStart"/>
      <w:r w:rsidR="004F45A5">
        <w:rPr>
          <w:rFonts w:ascii="Times New Roman" w:hAnsi="Times New Roman" w:cs="Times New Roman"/>
          <w:sz w:val="16"/>
          <w:szCs w:val="16"/>
          <w:lang w:val="en-US"/>
        </w:rPr>
        <w:t>Mallee</w:t>
      </w:r>
      <w:proofErr w:type="spellEnd"/>
      <w:r w:rsidR="004F45A5">
        <w:rPr>
          <w:rFonts w:ascii="Times New Roman" w:hAnsi="Times New Roman" w:cs="Times New Roman"/>
          <w:sz w:val="16"/>
          <w:szCs w:val="16"/>
          <w:lang w:val="en-US"/>
        </w:rPr>
        <w:t xml:space="preserve"> et al. [36</w:t>
      </w:r>
      <w:r w:rsidRPr="009B66BF">
        <w:rPr>
          <w:rFonts w:ascii="Times New Roman" w:hAnsi="Times New Roman" w:cs="Times New Roman"/>
          <w:sz w:val="16"/>
          <w:szCs w:val="16"/>
          <w:lang w:val="en-US"/>
        </w:rPr>
        <w:t>] refrained from calculating pooled estimate points.</w:t>
      </w:r>
    </w:p>
    <w:sectPr w:rsidR="00EC0A5E" w:rsidRPr="003619EE" w:rsidSect="003619EE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D47E3"/>
    <w:multiLevelType w:val="multilevel"/>
    <w:tmpl w:val="1E40F13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9EE"/>
    <w:rsid w:val="001B346E"/>
    <w:rsid w:val="001D6A29"/>
    <w:rsid w:val="00307E90"/>
    <w:rsid w:val="003619EE"/>
    <w:rsid w:val="004F45A5"/>
    <w:rsid w:val="006000C4"/>
    <w:rsid w:val="006A6E14"/>
    <w:rsid w:val="008D2935"/>
    <w:rsid w:val="00AB570B"/>
    <w:rsid w:val="00B912F4"/>
    <w:rsid w:val="00D20B92"/>
    <w:rsid w:val="00D43754"/>
    <w:rsid w:val="00E0762F"/>
    <w:rsid w:val="00EC0A5E"/>
    <w:rsid w:val="00EC7DB7"/>
    <w:rsid w:val="00F876F9"/>
    <w:rsid w:val="00FB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E12E82-7EDE-4CB2-A767-517850650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3619EE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619EE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3619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13</cp:revision>
  <dcterms:created xsi:type="dcterms:W3CDTF">2018-02-16T13:45:00Z</dcterms:created>
  <dcterms:modified xsi:type="dcterms:W3CDTF">2019-07-09T07:09:00Z</dcterms:modified>
</cp:coreProperties>
</file>